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2026-12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01.06.2026</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Überdachung E-Busse - Videoanlage</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